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eastAsia="PMingLiU"/>
          <w:i/>
          <w:iCs/>
          <w:spacing w:val="4"/>
          <w:sz w:val="24"/>
          <w:szCs w:val="24"/>
          <w:lang w:val="en-GB"/>
        </w:rPr>
      </w:pPr>
      <w:r>
        <w:rPr>
          <w:rFonts w:eastAsia="PMingLiU"/>
          <w:i/>
          <w:iCs/>
          <w:spacing w:val="4"/>
          <w:sz w:val="24"/>
          <w:szCs w:val="24"/>
          <w:lang w:val="en-GB"/>
        </w:rPr>
        <w:t>Hong Kong Exchanges and Clearing Limited and The Stock Exchange of Hong Kong Limited take no responsibility for the contents of this announcement, make no representation as to its accuracy or completeness and expressly disclaim any liability whatsoever for any loss howsoever arising from or in reliance upon the whole or any part of the contents of this announcement.</w:t>
      </w:r>
    </w:p>
    <w:p>
      <w:pPr>
        <w:jc w:val="both"/>
        <w:rPr>
          <w:i/>
          <w:iCs/>
          <w:color w:val="000000" w:themeColor="text1"/>
          <w14:textFill>
            <w14:solidFill>
              <w14:schemeClr w14:val="tx1"/>
            </w14:solidFill>
          </w14:textFill>
        </w:rPr>
      </w:pPr>
    </w:p>
    <w:p>
      <w:pPr>
        <w:jc w:val="both"/>
        <w:rPr>
          <w:i/>
          <w:iCs/>
          <w:color w:val="000000" w:themeColor="text1"/>
          <w14:textFill>
            <w14:solidFill>
              <w14:schemeClr w14:val="tx1"/>
            </w14:solidFill>
          </w14:textFill>
        </w:rPr>
      </w:pPr>
    </w:p>
    <w:p>
      <w:pPr>
        <w:jc w:val="center"/>
        <w:rPr>
          <w:b/>
          <w:bCs/>
        </w:rPr>
      </w:pPr>
      <w:r>
        <w:rPr>
          <w:rFonts w:hint="eastAsia"/>
          <w:b/>
          <w:bCs/>
          <w:lang w:eastAsia="zh-CN"/>
        </w:rPr>
        <w:drawing>
          <wp:inline distT="0" distB="0" distL="114300" distR="114300">
            <wp:extent cx="3096260" cy="561340"/>
            <wp:effectExtent l="0" t="0" r="8890" b="635"/>
            <wp:docPr id="1" name="图片 1" descr="S-中油洁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中油洁能"/>
                    <pic:cNvPicPr>
                      <a:picLocks noChangeAspect="1"/>
                    </pic:cNvPicPr>
                  </pic:nvPicPr>
                  <pic:blipFill>
                    <a:blip r:embed="rId5"/>
                    <a:stretch>
                      <a:fillRect/>
                    </a:stretch>
                  </pic:blipFill>
                  <pic:spPr>
                    <a:xfrm>
                      <a:off x="0" y="0"/>
                      <a:ext cx="3096260" cy="561340"/>
                    </a:xfrm>
                    <a:prstGeom prst="rect">
                      <a:avLst/>
                    </a:prstGeom>
                    <a:noFill/>
                    <a:ln>
                      <a:noFill/>
                    </a:ln>
                  </pic:spPr>
                </pic:pic>
              </a:graphicData>
            </a:graphic>
          </wp:inline>
        </w:drawing>
      </w:r>
    </w:p>
    <w:p>
      <w:pPr>
        <w:tabs>
          <w:tab w:val="left" w:pos="3600"/>
          <w:tab w:val="left" w:pos="5400"/>
          <w:tab w:val="left" w:pos="6570"/>
          <w:tab w:val="left" w:pos="8820"/>
        </w:tabs>
        <w:spacing w:line="216" w:lineRule="auto"/>
        <w:jc w:val="center"/>
        <w:rPr>
          <w:b/>
          <w:caps/>
          <w:spacing w:val="17"/>
          <w:sz w:val="32"/>
          <w:szCs w:val="28"/>
        </w:rPr>
      </w:pPr>
      <w:r>
        <w:rPr>
          <w:b/>
          <w:caps/>
          <w:spacing w:val="17"/>
          <w:sz w:val="32"/>
          <w:szCs w:val="28"/>
        </w:rPr>
        <w:t xml:space="preserve">Sino Gas Holdings Group Limited </w:t>
      </w:r>
    </w:p>
    <w:p>
      <w:pPr>
        <w:tabs>
          <w:tab w:val="left" w:pos="3600"/>
          <w:tab w:val="left" w:pos="5400"/>
          <w:tab w:val="left" w:pos="6570"/>
          <w:tab w:val="left" w:pos="8820"/>
        </w:tabs>
        <w:spacing w:line="216" w:lineRule="auto"/>
        <w:jc w:val="center"/>
        <w:rPr>
          <w:b/>
          <w:caps/>
          <w:spacing w:val="6"/>
          <w:sz w:val="28"/>
          <w:szCs w:val="28"/>
        </w:rPr>
      </w:pPr>
      <w:r>
        <w:rPr>
          <w:b/>
          <w:caps/>
          <w:spacing w:val="6"/>
          <w:sz w:val="28"/>
          <w:szCs w:val="28"/>
        </w:rPr>
        <w:t>中 油 潔 能 控 股 集 團 有 限 公 司</w:t>
      </w:r>
    </w:p>
    <w:p>
      <w:pPr>
        <w:jc w:val="center"/>
        <w:rPr>
          <w:i/>
        </w:rPr>
      </w:pPr>
      <w:r>
        <w:rPr>
          <w:i/>
        </w:rPr>
        <w:t>(Incorporated in the Cayman Islands with limited liability)</w:t>
      </w:r>
    </w:p>
    <w:p>
      <w:pPr>
        <w:jc w:val="center"/>
        <w:rPr>
          <w:b/>
          <w:bCs/>
        </w:rPr>
      </w:pPr>
      <w:r>
        <w:rPr>
          <w:b/>
          <w:bCs/>
        </w:rPr>
        <w:t>(Stock code: 1759)</w:t>
      </w:r>
    </w:p>
    <w:p>
      <w:pPr>
        <w:pStyle w:val="5"/>
        <w:spacing w:before="2"/>
        <w:jc w:val="both"/>
        <w:rPr>
          <w:b/>
          <w:color w:val="000000" w:themeColor="text1"/>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rPr>
          <w:rFonts w:eastAsia="PMingLiU"/>
          <w:b/>
          <w:bCs/>
          <w:sz w:val="24"/>
          <w:szCs w:val="24"/>
          <w:lang w:eastAsia="zh-TW"/>
        </w:rPr>
      </w:pPr>
    </w:p>
    <w:p>
      <w:pPr>
        <w:keepNext w:val="0"/>
        <w:keepLines w:val="0"/>
        <w:pageBreakBefore w:val="0"/>
        <w:widowControl w:val="0"/>
        <w:kinsoku/>
        <w:wordWrap/>
        <w:overflowPunct/>
        <w:topLinePunct w:val="0"/>
        <w:autoSpaceDE w:val="0"/>
        <w:autoSpaceDN w:val="0"/>
        <w:bidi w:val="0"/>
        <w:adjustRightInd/>
        <w:snapToGrid/>
        <w:spacing w:after="0" w:line="312" w:lineRule="auto"/>
        <w:jc w:val="center"/>
        <w:textAlignment w:val="auto"/>
        <w:rPr>
          <w:rFonts w:ascii="Times New Roman" w:hAnsi="Times New Roman" w:cs="Times New Roman"/>
          <w:b/>
          <w:bCs/>
          <w:sz w:val="24"/>
          <w:szCs w:val="24"/>
        </w:rPr>
      </w:pPr>
      <w:r>
        <w:rPr>
          <w:rFonts w:ascii="Times New Roman" w:hAnsi="Times New Roman" w:cs="Times New Roman"/>
          <w:b/>
          <w:bCs/>
          <w:sz w:val="24"/>
          <w:szCs w:val="24"/>
        </w:rPr>
        <w:t>TERMINATION OF DISPOSAL OF EQUITY INTERESTS</w:t>
      </w:r>
    </w:p>
    <w:p>
      <w:pPr>
        <w:keepNext w:val="0"/>
        <w:keepLines w:val="0"/>
        <w:pageBreakBefore w:val="0"/>
        <w:widowControl w:val="0"/>
        <w:kinsoku/>
        <w:wordWrap/>
        <w:overflowPunct/>
        <w:topLinePunct w:val="0"/>
        <w:autoSpaceDE w:val="0"/>
        <w:autoSpaceDN w:val="0"/>
        <w:bidi w:val="0"/>
        <w:adjustRightInd/>
        <w:snapToGrid/>
        <w:spacing w:after="0" w:line="312" w:lineRule="auto"/>
        <w:jc w:val="center"/>
        <w:textAlignment w:val="auto"/>
        <w:rPr>
          <w:rFonts w:eastAsia="PMingLiU"/>
          <w:b/>
          <w:bCs/>
          <w:sz w:val="24"/>
          <w:szCs w:val="24"/>
          <w:lang w:eastAsia="zh-TW"/>
        </w:rPr>
      </w:pPr>
      <w:r>
        <w:rPr>
          <w:rFonts w:ascii="Times New Roman" w:hAnsi="Times New Roman" w:cs="Times New Roman"/>
          <w:b/>
          <w:bCs/>
          <w:sz w:val="24"/>
          <w:szCs w:val="24"/>
        </w:rPr>
        <w:t>IN HENAN BLUE SKY THROUGH LISTING-FOR-SALES</w:t>
      </w:r>
    </w:p>
    <w:p>
      <w:pPr>
        <w:keepNext w:val="0"/>
        <w:keepLines w:val="0"/>
        <w:pageBreakBefore w:val="0"/>
        <w:widowControl w:val="0"/>
        <w:kinsoku/>
        <w:wordWrap/>
        <w:overflowPunct/>
        <w:topLinePunct w:val="0"/>
        <w:autoSpaceDE w:val="0"/>
        <w:autoSpaceDN w:val="0"/>
        <w:bidi w:val="0"/>
        <w:adjustRightInd/>
        <w:snapToGrid/>
        <w:spacing w:line="312" w:lineRule="auto"/>
        <w:jc w:val="left"/>
        <w:textAlignment w:val="auto"/>
        <w:rPr>
          <w:rFonts w:eastAsia="PMingLiU"/>
          <w:b/>
          <w:bCs/>
          <w:sz w:val="24"/>
          <w:szCs w:val="24"/>
          <w:lang w:eastAsia="zh-TW"/>
        </w:rPr>
      </w:pPr>
    </w:p>
    <w:p>
      <w:pPr>
        <w:keepNext w:val="0"/>
        <w:keepLines w:val="0"/>
        <w:pageBreakBefore w:val="0"/>
        <w:widowControl w:val="0"/>
        <w:kinsoku/>
        <w:wordWrap/>
        <w:overflowPunct/>
        <w:topLinePunct w:val="0"/>
        <w:autoSpaceDE w:val="0"/>
        <w:autoSpaceDN w:val="0"/>
        <w:bidi w:val="0"/>
        <w:adjustRightInd/>
        <w:snapToGrid/>
        <w:spacing w:after="0" w:line="312" w:lineRule="auto"/>
        <w:jc w:val="both"/>
        <w:textAlignment w:val="auto"/>
        <w:rPr>
          <w:rFonts w:ascii="Times New Roman" w:hAnsi="Times New Roman" w:cs="Times New Roman"/>
        </w:rPr>
      </w:pPr>
      <w:r>
        <w:rPr>
          <w:rFonts w:ascii="Times New Roman" w:hAnsi="Times New Roman" w:cs="Times New Roman"/>
        </w:rPr>
        <w:t>Reference is made to the announcements of Sino Gas Holdings Group Limited (the “</w:t>
      </w:r>
      <w:r>
        <w:rPr>
          <w:rFonts w:ascii="Times New Roman" w:hAnsi="Times New Roman" w:cs="Times New Roman"/>
          <w:b/>
          <w:bCs/>
        </w:rPr>
        <w:t>Company</w:t>
      </w:r>
      <w:r>
        <w:rPr>
          <w:rFonts w:ascii="Times New Roman" w:hAnsi="Times New Roman" w:cs="Times New Roman"/>
        </w:rPr>
        <w:t>”) dated 10 August 2023 and 24 September 2023 (the “</w:t>
      </w:r>
      <w:r>
        <w:rPr>
          <w:rFonts w:ascii="Times New Roman" w:hAnsi="Times New Roman" w:cs="Times New Roman"/>
          <w:b/>
          <w:bCs/>
        </w:rPr>
        <w:t>Announcements</w:t>
      </w:r>
      <w:r>
        <w:rPr>
          <w:rFonts w:ascii="Times New Roman" w:hAnsi="Times New Roman" w:cs="Times New Roman"/>
        </w:rPr>
        <w:t>”) in relation to, among other things, the potential disposal of the entire equity interests held by the Company in Henan Blue Sky through listing-for-sales on SUAEE. Unless otherwise specified, capitalized terms used herein shall have the same meanings as those defined in the Announcements.</w:t>
      </w:r>
    </w:p>
    <w:p>
      <w:pPr>
        <w:keepNext w:val="0"/>
        <w:keepLines w:val="0"/>
        <w:pageBreakBefore w:val="0"/>
        <w:widowControl w:val="0"/>
        <w:kinsoku/>
        <w:wordWrap/>
        <w:overflowPunct/>
        <w:topLinePunct w:val="0"/>
        <w:autoSpaceDE w:val="0"/>
        <w:autoSpaceDN w:val="0"/>
        <w:bidi w:val="0"/>
        <w:adjustRightInd/>
        <w:snapToGrid/>
        <w:spacing w:after="0" w:line="312" w:lineRule="auto"/>
        <w:jc w:val="both"/>
        <w:textAlignment w:val="auto"/>
        <w:rPr>
          <w:rFonts w:ascii="Times New Roman" w:hAnsi="Times New Roman" w:cs="Times New Roman"/>
        </w:rPr>
      </w:pPr>
    </w:p>
    <w:p>
      <w:pPr>
        <w:keepNext w:val="0"/>
        <w:keepLines w:val="0"/>
        <w:pageBreakBefore w:val="0"/>
        <w:widowControl w:val="0"/>
        <w:kinsoku/>
        <w:wordWrap/>
        <w:overflowPunct/>
        <w:topLinePunct w:val="0"/>
        <w:autoSpaceDE w:val="0"/>
        <w:autoSpaceDN w:val="0"/>
        <w:bidi w:val="0"/>
        <w:adjustRightInd/>
        <w:snapToGrid/>
        <w:spacing w:after="0" w:line="312" w:lineRule="auto"/>
        <w:jc w:val="both"/>
        <w:textAlignment w:val="auto"/>
        <w:rPr>
          <w:rFonts w:ascii="Times New Roman" w:hAnsi="Times New Roman" w:cs="Times New Roman"/>
          <w:b/>
          <w:bCs/>
        </w:rPr>
      </w:pPr>
      <w:r>
        <w:rPr>
          <w:rFonts w:ascii="Times New Roman" w:hAnsi="Times New Roman" w:cs="Times New Roman"/>
          <w:b/>
          <w:bCs/>
        </w:rPr>
        <w:t>TERMINATION OF THE POTENTIAL DISPOSAL</w:t>
      </w:r>
    </w:p>
    <w:p>
      <w:pPr>
        <w:keepNext w:val="0"/>
        <w:keepLines w:val="0"/>
        <w:pageBreakBefore w:val="0"/>
        <w:widowControl w:val="0"/>
        <w:kinsoku/>
        <w:wordWrap/>
        <w:overflowPunct/>
        <w:topLinePunct w:val="0"/>
        <w:autoSpaceDE w:val="0"/>
        <w:autoSpaceDN w:val="0"/>
        <w:bidi w:val="0"/>
        <w:adjustRightInd/>
        <w:snapToGrid/>
        <w:spacing w:after="0" w:line="312" w:lineRule="auto"/>
        <w:jc w:val="both"/>
        <w:textAlignment w:val="auto"/>
        <w:rPr>
          <w:rFonts w:ascii="Times New Roman" w:hAnsi="Times New Roman" w:cs="Times New Roman"/>
          <w:b/>
          <w:bCs/>
        </w:rPr>
      </w:pPr>
    </w:p>
    <w:p>
      <w:pPr>
        <w:keepNext w:val="0"/>
        <w:keepLines w:val="0"/>
        <w:pageBreakBefore w:val="0"/>
        <w:widowControl w:val="0"/>
        <w:kinsoku/>
        <w:wordWrap/>
        <w:overflowPunct/>
        <w:topLinePunct w:val="0"/>
        <w:autoSpaceDE w:val="0"/>
        <w:autoSpaceDN w:val="0"/>
        <w:bidi w:val="0"/>
        <w:adjustRightInd/>
        <w:snapToGrid/>
        <w:spacing w:after="0" w:line="312" w:lineRule="auto"/>
        <w:jc w:val="both"/>
        <w:textAlignment w:val="auto"/>
        <w:rPr>
          <w:rFonts w:eastAsia="PMingLiU"/>
          <w:sz w:val="24"/>
          <w:szCs w:val="24"/>
          <w:lang w:eastAsia="zh-TW"/>
        </w:rPr>
      </w:pPr>
      <w:bookmarkStart w:id="0" w:name="OLE_LINK1"/>
      <w:r>
        <w:rPr>
          <w:rFonts w:ascii="Times New Roman" w:hAnsi="Times New Roman" w:cs="Times New Roman"/>
        </w:rPr>
        <w:t>The Board announces that the listing-for-sales on SUAEE in relation to the Potential Disposal expired on</w:t>
      </w:r>
      <w:r>
        <w:rPr>
          <w:rFonts w:hint="eastAsia" w:eastAsia="宋体" w:cs="Times New Roman"/>
          <w:lang w:val="en-US" w:eastAsia="zh-CN"/>
        </w:rPr>
        <w:t xml:space="preserve"> </w:t>
      </w:r>
      <w:r>
        <w:rPr>
          <w:rFonts w:ascii="Times New Roman" w:hAnsi="Times New Roman" w:cs="Times New Roman"/>
        </w:rPr>
        <w:t>29</w:t>
      </w:r>
      <w:r>
        <w:rPr>
          <w:rFonts w:hint="eastAsia" w:eastAsia="宋体" w:cs="Times New Roman"/>
          <w:lang w:val="en-US" w:eastAsia="zh-CN"/>
        </w:rPr>
        <w:t xml:space="preserve"> </w:t>
      </w:r>
      <w:r>
        <w:rPr>
          <w:rFonts w:ascii="Times New Roman" w:hAnsi="Times New Roman" w:cs="Times New Roman"/>
        </w:rPr>
        <w:t>November 2023</w:t>
      </w:r>
      <w:bookmarkEnd w:id="0"/>
      <w:r>
        <w:rPr>
          <w:rFonts w:ascii="Times New Roman" w:hAnsi="Times New Roman" w:cs="Times New Roman"/>
        </w:rPr>
        <w:t>. As no interested transferee was registered immediately prior to the date of this announcement, the Company decides to terminate the Potential Disposal</w:t>
      </w:r>
      <w:r>
        <w:rPr>
          <w:rFonts w:hint="eastAsia" w:eastAsia="宋体" w:cs="Times New Roman"/>
          <w:lang w:val="en-US" w:eastAsia="zh-CN"/>
        </w:rPr>
        <w:t xml:space="preserve"> </w:t>
      </w:r>
      <w:r>
        <w:rPr>
          <w:rFonts w:ascii="Times New Roman" w:hAnsi="Times New Roman" w:cs="Times New Roman"/>
        </w:rPr>
        <w:t xml:space="preserve">through listing-for-sales (the </w:t>
      </w:r>
      <w:bookmarkStart w:id="1" w:name="_GoBack"/>
      <w:bookmarkEnd w:id="1"/>
      <w:r>
        <w:rPr>
          <w:rFonts w:ascii="Times New Roman" w:hAnsi="Times New Roman" w:cs="Times New Roman"/>
        </w:rPr>
        <w:t>“</w:t>
      </w:r>
      <w:r>
        <w:rPr>
          <w:rFonts w:ascii="Times New Roman" w:hAnsi="Times New Roman" w:cs="Times New Roman"/>
          <w:b/>
          <w:bCs/>
        </w:rPr>
        <w:t>Termination</w:t>
      </w:r>
      <w:r>
        <w:rPr>
          <w:rFonts w:ascii="Times New Roman" w:hAnsi="Times New Roman" w:cs="Times New Roman"/>
        </w:rPr>
        <w:t>”). The Company considers that the Termination will not have any material adverse impact on the financial position and operation of the Group.</w:t>
      </w:r>
    </w:p>
    <w:p>
      <w:pPr>
        <w:keepNext w:val="0"/>
        <w:keepLines w:val="0"/>
        <w:pageBreakBefore w:val="0"/>
        <w:widowControl w:val="0"/>
        <w:kinsoku/>
        <w:wordWrap/>
        <w:overflowPunct/>
        <w:topLinePunct w:val="0"/>
        <w:autoSpaceDE w:val="0"/>
        <w:autoSpaceDN w:val="0"/>
        <w:bidi w:val="0"/>
        <w:adjustRightInd/>
        <w:snapToGrid/>
        <w:spacing w:line="312" w:lineRule="auto"/>
        <w:jc w:val="both"/>
        <w:textAlignment w:val="auto"/>
        <w:rPr>
          <w:color w:val="000000" w:themeColor="text1"/>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line="312" w:lineRule="auto"/>
        <w:jc w:val="both"/>
        <w:textAlignment w:val="auto"/>
        <w:rPr>
          <w:color w:val="000000" w:themeColor="text1"/>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line="312" w:lineRule="auto"/>
        <w:jc w:val="both"/>
        <w:textAlignment w:val="auto"/>
        <w:rPr>
          <w:color w:val="000000" w:themeColor="text1"/>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line="312" w:lineRule="auto"/>
        <w:ind w:left="5812"/>
        <w:jc w:val="center"/>
        <w:textAlignment w:val="auto"/>
        <w:rPr>
          <w:spacing w:val="4"/>
        </w:rPr>
      </w:pPr>
      <w:r>
        <w:rPr>
          <w:color w:val="000000" w:themeColor="text1"/>
          <w:w w:val="105"/>
          <w14:textFill>
            <w14:solidFill>
              <w14:schemeClr w14:val="tx1"/>
            </w14:solidFill>
          </w14:textFill>
        </w:rPr>
        <w:t xml:space="preserve">  </w:t>
      </w:r>
      <w:r>
        <w:rPr>
          <w:spacing w:val="4"/>
        </w:rPr>
        <w:t>By Order of the Board</w:t>
      </w:r>
    </w:p>
    <w:p>
      <w:pPr>
        <w:keepNext w:val="0"/>
        <w:keepLines w:val="0"/>
        <w:pageBreakBefore w:val="0"/>
        <w:widowControl w:val="0"/>
        <w:kinsoku/>
        <w:wordWrap/>
        <w:overflowPunct/>
        <w:topLinePunct w:val="0"/>
        <w:autoSpaceDE w:val="0"/>
        <w:autoSpaceDN w:val="0"/>
        <w:bidi w:val="0"/>
        <w:adjustRightInd/>
        <w:snapToGrid/>
        <w:spacing w:line="312" w:lineRule="auto"/>
        <w:ind w:left="5812"/>
        <w:jc w:val="center"/>
        <w:textAlignment w:val="auto"/>
        <w:rPr>
          <w:b/>
          <w:spacing w:val="4"/>
        </w:rPr>
      </w:pPr>
      <w:r>
        <w:rPr>
          <w:b/>
          <w:spacing w:val="4"/>
        </w:rPr>
        <w:t>Sino Gas Holdings Group Limited</w:t>
      </w:r>
    </w:p>
    <w:p>
      <w:pPr>
        <w:keepNext w:val="0"/>
        <w:keepLines w:val="0"/>
        <w:pageBreakBefore w:val="0"/>
        <w:widowControl w:val="0"/>
        <w:tabs>
          <w:tab w:val="left" w:pos="6840"/>
        </w:tabs>
        <w:kinsoku/>
        <w:wordWrap/>
        <w:overflowPunct/>
        <w:topLinePunct w:val="0"/>
        <w:autoSpaceDE w:val="0"/>
        <w:autoSpaceDN w:val="0"/>
        <w:bidi w:val="0"/>
        <w:adjustRightInd/>
        <w:snapToGrid/>
        <w:spacing w:line="312" w:lineRule="auto"/>
        <w:ind w:left="5812"/>
        <w:jc w:val="center"/>
        <w:textAlignment w:val="auto"/>
        <w:rPr>
          <w:b/>
          <w:spacing w:val="4"/>
        </w:rPr>
      </w:pPr>
      <w:r>
        <w:rPr>
          <w:b/>
          <w:spacing w:val="4"/>
        </w:rPr>
        <w:t>Mr. Ji Guang</w:t>
      </w:r>
    </w:p>
    <w:p>
      <w:pPr>
        <w:keepNext w:val="0"/>
        <w:keepLines w:val="0"/>
        <w:pageBreakBefore w:val="0"/>
        <w:widowControl w:val="0"/>
        <w:tabs>
          <w:tab w:val="left" w:pos="6840"/>
        </w:tabs>
        <w:kinsoku/>
        <w:wordWrap/>
        <w:overflowPunct/>
        <w:topLinePunct w:val="0"/>
        <w:autoSpaceDE w:val="0"/>
        <w:autoSpaceDN w:val="0"/>
        <w:bidi w:val="0"/>
        <w:adjustRightInd/>
        <w:snapToGrid/>
        <w:spacing w:line="312" w:lineRule="auto"/>
        <w:ind w:left="5812"/>
        <w:jc w:val="center"/>
        <w:textAlignment w:val="auto"/>
        <w:rPr>
          <w:i/>
          <w:spacing w:val="4"/>
        </w:rPr>
      </w:pPr>
      <w:r>
        <w:rPr>
          <w:i/>
          <w:spacing w:val="4"/>
        </w:rPr>
        <w:t>Chairman</w:t>
      </w:r>
    </w:p>
    <w:p>
      <w:pPr>
        <w:keepNext w:val="0"/>
        <w:keepLines w:val="0"/>
        <w:pageBreakBefore w:val="0"/>
        <w:widowControl w:val="0"/>
        <w:tabs>
          <w:tab w:val="left" w:pos="6840"/>
        </w:tabs>
        <w:kinsoku/>
        <w:wordWrap/>
        <w:overflowPunct/>
        <w:topLinePunct w:val="0"/>
        <w:autoSpaceDE w:val="0"/>
        <w:autoSpaceDN w:val="0"/>
        <w:bidi w:val="0"/>
        <w:adjustRightInd/>
        <w:snapToGrid/>
        <w:spacing w:line="312" w:lineRule="auto"/>
        <w:ind w:left="5812"/>
        <w:jc w:val="center"/>
        <w:textAlignment w:val="auto"/>
        <w:rPr>
          <w:i/>
          <w:spacing w:val="4"/>
        </w:rPr>
      </w:pPr>
    </w:p>
    <w:p>
      <w:pPr>
        <w:keepNext w:val="0"/>
        <w:keepLines w:val="0"/>
        <w:pageBreakBefore w:val="0"/>
        <w:widowControl w:val="0"/>
        <w:kinsoku/>
        <w:wordWrap/>
        <w:overflowPunct/>
        <w:topLinePunct w:val="0"/>
        <w:autoSpaceDE w:val="0"/>
        <w:autoSpaceDN w:val="0"/>
        <w:bidi w:val="0"/>
        <w:adjustRightInd/>
        <w:snapToGrid/>
        <w:spacing w:line="312" w:lineRule="auto"/>
        <w:jc w:val="both"/>
        <w:textAlignment w:val="auto"/>
        <w:rPr>
          <w:i/>
          <w:color w:val="000000" w:themeColor="text1"/>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line="312" w:lineRule="auto"/>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 xml:space="preserve">Hong Kong, </w:t>
      </w:r>
      <w:r>
        <w:rPr>
          <w:rFonts w:hint="eastAsia" w:eastAsia="宋体"/>
          <w:color w:val="000000" w:themeColor="text1"/>
          <w:lang w:val="en-US" w:eastAsia="zh-CN"/>
          <w14:textFill>
            <w14:solidFill>
              <w14:schemeClr w14:val="tx1"/>
            </w14:solidFill>
          </w14:textFill>
        </w:rPr>
        <w:t>30</w:t>
      </w:r>
      <w:r>
        <w:rPr>
          <w:rFonts w:eastAsia="宋体"/>
          <w:color w:val="000000" w:themeColor="text1"/>
          <w:lang w:eastAsia="zh-CN"/>
          <w14:textFill>
            <w14:solidFill>
              <w14:schemeClr w14:val="tx1"/>
            </w14:solidFill>
          </w14:textFill>
        </w:rPr>
        <w:t xml:space="preserve"> </w:t>
      </w:r>
      <w:r>
        <w:rPr>
          <w:rFonts w:hint="eastAsia" w:eastAsia="宋体"/>
          <w:color w:val="000000" w:themeColor="text1"/>
          <w:lang w:val="en-US" w:eastAsia="zh-CN"/>
          <w14:textFill>
            <w14:solidFill>
              <w14:schemeClr w14:val="tx1"/>
            </w14:solidFill>
          </w14:textFill>
        </w:rPr>
        <w:t>Nov</w:t>
      </w:r>
      <w:r>
        <w:rPr>
          <w:rFonts w:eastAsia="宋体"/>
          <w:color w:val="000000" w:themeColor="text1"/>
          <w:lang w:eastAsia="zh-CN"/>
          <w14:textFill>
            <w14:solidFill>
              <w14:schemeClr w14:val="tx1"/>
            </w14:solidFill>
          </w14:textFill>
        </w:rPr>
        <w:t>ember</w:t>
      </w:r>
      <w:r>
        <w:rPr>
          <w:color w:val="000000" w:themeColor="text1"/>
          <w14:textFill>
            <w14:solidFill>
              <w14:schemeClr w14:val="tx1"/>
            </w14:solidFill>
          </w14:textFill>
        </w:rPr>
        <w:t xml:space="preserve"> 2023</w:t>
      </w:r>
    </w:p>
    <w:p>
      <w:pPr>
        <w:keepNext w:val="0"/>
        <w:keepLines w:val="0"/>
        <w:pageBreakBefore w:val="0"/>
        <w:widowControl w:val="0"/>
        <w:kinsoku/>
        <w:wordWrap/>
        <w:overflowPunct/>
        <w:topLinePunct w:val="0"/>
        <w:autoSpaceDE w:val="0"/>
        <w:autoSpaceDN w:val="0"/>
        <w:bidi w:val="0"/>
        <w:adjustRightInd/>
        <w:snapToGrid/>
        <w:spacing w:line="312" w:lineRule="auto"/>
        <w:jc w:val="both"/>
        <w:textAlignment w:val="auto"/>
        <w:rPr>
          <w:color w:val="000000" w:themeColor="text1"/>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line="312" w:lineRule="auto"/>
        <w:jc w:val="both"/>
        <w:textAlignment w:val="auto"/>
      </w:pPr>
      <w:r>
        <w:t>As at the date of this announcement, the directors of the Company are:</w:t>
      </w:r>
    </w:p>
    <w:p>
      <w:pPr>
        <w:keepNext w:val="0"/>
        <w:keepLines w:val="0"/>
        <w:pageBreakBefore w:val="0"/>
        <w:widowControl w:val="0"/>
        <w:kinsoku/>
        <w:wordWrap/>
        <w:overflowPunct/>
        <w:topLinePunct w:val="0"/>
        <w:autoSpaceDE w:val="0"/>
        <w:autoSpaceDN w:val="0"/>
        <w:bidi w:val="0"/>
        <w:adjustRightInd/>
        <w:snapToGrid/>
        <w:spacing w:line="312" w:lineRule="auto"/>
        <w:jc w:val="both"/>
        <w:textAlignment w:val="auto"/>
      </w:pPr>
    </w:p>
    <w:p>
      <w:pPr>
        <w:keepNext w:val="0"/>
        <w:keepLines w:val="0"/>
        <w:pageBreakBefore w:val="0"/>
        <w:widowControl w:val="0"/>
        <w:kinsoku/>
        <w:wordWrap/>
        <w:overflowPunct/>
        <w:topLinePunct w:val="0"/>
        <w:autoSpaceDE w:val="0"/>
        <w:autoSpaceDN w:val="0"/>
        <w:bidi w:val="0"/>
        <w:adjustRightInd/>
        <w:snapToGrid/>
        <w:spacing w:line="312" w:lineRule="auto"/>
        <w:jc w:val="both"/>
        <w:textAlignment w:val="auto"/>
        <w:rPr>
          <w:i/>
          <w:iCs/>
        </w:rPr>
      </w:pPr>
      <w:r>
        <w:rPr>
          <w:i/>
          <w:iCs/>
        </w:rPr>
        <w:t xml:space="preserve">Executive Directors: </w:t>
      </w:r>
    </w:p>
    <w:p>
      <w:pPr>
        <w:keepNext w:val="0"/>
        <w:keepLines w:val="0"/>
        <w:pageBreakBefore w:val="0"/>
        <w:widowControl w:val="0"/>
        <w:kinsoku/>
        <w:wordWrap/>
        <w:overflowPunct/>
        <w:topLinePunct w:val="0"/>
        <w:autoSpaceDE w:val="0"/>
        <w:autoSpaceDN w:val="0"/>
        <w:bidi w:val="0"/>
        <w:adjustRightInd/>
        <w:snapToGrid/>
        <w:spacing w:line="312" w:lineRule="auto"/>
        <w:jc w:val="both"/>
        <w:textAlignment w:val="auto"/>
      </w:pPr>
      <w:r>
        <w:t xml:space="preserve">Mr. Ji Guang </w:t>
      </w:r>
      <w:r>
        <w:rPr>
          <w:i/>
          <w:iCs/>
        </w:rPr>
        <w:t>(Chairman)</w:t>
      </w:r>
      <w:r>
        <w:t xml:space="preserve"> </w:t>
      </w:r>
    </w:p>
    <w:p>
      <w:pPr>
        <w:keepNext w:val="0"/>
        <w:keepLines w:val="0"/>
        <w:pageBreakBefore w:val="0"/>
        <w:widowControl w:val="0"/>
        <w:kinsoku/>
        <w:wordWrap/>
        <w:overflowPunct/>
        <w:topLinePunct w:val="0"/>
        <w:autoSpaceDE w:val="0"/>
        <w:autoSpaceDN w:val="0"/>
        <w:bidi w:val="0"/>
        <w:adjustRightInd/>
        <w:snapToGrid/>
        <w:spacing w:line="312" w:lineRule="auto"/>
        <w:jc w:val="both"/>
        <w:textAlignment w:val="auto"/>
      </w:pPr>
      <w:r>
        <w:t xml:space="preserve">Ms. Ji Ling </w:t>
      </w:r>
      <w:r>
        <w:rPr>
          <w:i/>
          <w:iCs/>
        </w:rPr>
        <w:t>(Vice-Chairman and Chief Executive Officer)</w:t>
      </w:r>
    </w:p>
    <w:p>
      <w:pPr>
        <w:keepNext w:val="0"/>
        <w:keepLines w:val="0"/>
        <w:pageBreakBefore w:val="0"/>
        <w:widowControl w:val="0"/>
        <w:kinsoku/>
        <w:wordWrap/>
        <w:overflowPunct/>
        <w:topLinePunct w:val="0"/>
        <w:autoSpaceDE w:val="0"/>
        <w:autoSpaceDN w:val="0"/>
        <w:bidi w:val="0"/>
        <w:adjustRightInd/>
        <w:snapToGrid/>
        <w:spacing w:line="312" w:lineRule="auto"/>
        <w:jc w:val="both"/>
        <w:textAlignment w:val="auto"/>
      </w:pPr>
      <w:r>
        <w:t>Ms. Cui Meijian</w:t>
      </w:r>
    </w:p>
    <w:p>
      <w:pPr>
        <w:keepNext w:val="0"/>
        <w:keepLines w:val="0"/>
        <w:pageBreakBefore w:val="0"/>
        <w:widowControl w:val="0"/>
        <w:kinsoku/>
        <w:wordWrap/>
        <w:overflowPunct/>
        <w:topLinePunct w:val="0"/>
        <w:autoSpaceDE w:val="0"/>
        <w:autoSpaceDN w:val="0"/>
        <w:bidi w:val="0"/>
        <w:adjustRightInd/>
        <w:snapToGrid/>
        <w:spacing w:line="312" w:lineRule="auto"/>
        <w:jc w:val="both"/>
        <w:textAlignment w:val="auto"/>
      </w:pPr>
      <w:r>
        <w:t>Mr. Zhou Feng</w:t>
      </w:r>
    </w:p>
    <w:p>
      <w:pPr>
        <w:keepNext w:val="0"/>
        <w:keepLines w:val="0"/>
        <w:pageBreakBefore w:val="0"/>
        <w:widowControl w:val="0"/>
        <w:kinsoku/>
        <w:wordWrap/>
        <w:overflowPunct/>
        <w:topLinePunct w:val="0"/>
        <w:autoSpaceDE w:val="0"/>
        <w:autoSpaceDN w:val="0"/>
        <w:bidi w:val="0"/>
        <w:adjustRightInd/>
        <w:snapToGrid/>
        <w:spacing w:line="312" w:lineRule="auto"/>
        <w:jc w:val="both"/>
        <w:textAlignment w:val="auto"/>
      </w:pPr>
    </w:p>
    <w:p>
      <w:pPr>
        <w:keepNext w:val="0"/>
        <w:keepLines w:val="0"/>
        <w:pageBreakBefore w:val="0"/>
        <w:widowControl w:val="0"/>
        <w:kinsoku/>
        <w:wordWrap/>
        <w:overflowPunct/>
        <w:topLinePunct w:val="0"/>
        <w:autoSpaceDE w:val="0"/>
        <w:autoSpaceDN w:val="0"/>
        <w:bidi w:val="0"/>
        <w:adjustRightInd/>
        <w:snapToGrid/>
        <w:spacing w:line="312" w:lineRule="auto"/>
        <w:jc w:val="both"/>
        <w:textAlignment w:val="auto"/>
        <w:rPr>
          <w:i/>
          <w:iCs/>
        </w:rPr>
      </w:pPr>
      <w:r>
        <w:rPr>
          <w:i/>
          <w:iCs/>
        </w:rPr>
        <w:t xml:space="preserve">Independent non-executive Directors: </w:t>
      </w:r>
    </w:p>
    <w:p>
      <w:pPr>
        <w:keepNext w:val="0"/>
        <w:keepLines w:val="0"/>
        <w:pageBreakBefore w:val="0"/>
        <w:widowControl w:val="0"/>
        <w:kinsoku/>
        <w:wordWrap/>
        <w:overflowPunct/>
        <w:topLinePunct w:val="0"/>
        <w:autoSpaceDE w:val="0"/>
        <w:autoSpaceDN w:val="0"/>
        <w:bidi w:val="0"/>
        <w:adjustRightInd/>
        <w:snapToGrid/>
        <w:spacing w:line="312" w:lineRule="auto"/>
        <w:jc w:val="both"/>
        <w:textAlignment w:val="auto"/>
      </w:pPr>
      <w:r>
        <w:t>Mr. Sheng Yuhong</w:t>
      </w:r>
    </w:p>
    <w:p>
      <w:pPr>
        <w:keepNext w:val="0"/>
        <w:keepLines w:val="0"/>
        <w:pageBreakBefore w:val="0"/>
        <w:widowControl w:val="0"/>
        <w:kinsoku/>
        <w:wordWrap/>
        <w:overflowPunct/>
        <w:topLinePunct w:val="0"/>
        <w:autoSpaceDE w:val="0"/>
        <w:autoSpaceDN w:val="0"/>
        <w:bidi w:val="0"/>
        <w:adjustRightInd/>
        <w:snapToGrid/>
        <w:spacing w:line="312" w:lineRule="auto"/>
        <w:jc w:val="both"/>
        <w:textAlignment w:val="auto"/>
      </w:pPr>
      <w:r>
        <w:t>Mr. Wang Zhonghua</w:t>
      </w:r>
    </w:p>
    <w:p>
      <w:pPr>
        <w:keepNext w:val="0"/>
        <w:keepLines w:val="0"/>
        <w:pageBreakBefore w:val="0"/>
        <w:widowControl w:val="0"/>
        <w:kinsoku/>
        <w:wordWrap/>
        <w:overflowPunct/>
        <w:topLinePunct w:val="0"/>
        <w:autoSpaceDE w:val="0"/>
        <w:autoSpaceDN w:val="0"/>
        <w:bidi w:val="0"/>
        <w:adjustRightInd/>
        <w:snapToGrid/>
        <w:spacing w:line="312" w:lineRule="auto"/>
        <w:jc w:val="both"/>
        <w:textAlignment w:val="auto"/>
        <w:rPr>
          <w:i/>
          <w:iCs/>
          <w:color w:val="000000" w:themeColor="text1"/>
          <w14:textFill>
            <w14:solidFill>
              <w14:schemeClr w14:val="tx1"/>
            </w14:solidFill>
          </w14:textFill>
        </w:rPr>
      </w:pPr>
      <w:r>
        <w:t>Dr. Zheng Jian Peng</w:t>
      </w:r>
    </w:p>
    <w:sectPr>
      <w:footerReference r:id="rId3" w:type="default"/>
      <w:pgSz w:w="11906" w:h="16838"/>
      <w:pgMar w:top="1440" w:right="1440" w:bottom="1440" w:left="1440" w:header="0" w:footer="907"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Segoe Print"/>
    <w:panose1 w:val="00000000000000000000"/>
    <w:charset w:val="00"/>
    <w:family w:val="auto"/>
    <w:pitch w:val="default"/>
    <w:sig w:usb0="00000000" w:usb1="00000000" w:usb2="00000000" w:usb3="00000000" w:csb0="00000000" w:csb1="00000000"/>
  </w:font>
  <w:font w:name="PMingLiU">
    <w:altName w:val="PMingLiU-ExtB"/>
    <w:panose1 w:val="02020500000000000000"/>
    <w:charset w:val="88"/>
    <w:family w:val="auto"/>
    <w:pitch w:val="default"/>
    <w:sig w:usb0="00000000" w:usb1="00000000" w:usb2="00000016" w:usb3="00000000" w:csb0="00100001"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A3MTA1MDRiMTNlYThhNjFjZTk2OGI3MThjODIyZGIifQ=="/>
  </w:docVars>
  <w:rsids>
    <w:rsidRoot w:val="002F7576"/>
    <w:rsid w:val="000050A8"/>
    <w:rsid w:val="000144D3"/>
    <w:rsid w:val="00031D8E"/>
    <w:rsid w:val="0003628F"/>
    <w:rsid w:val="000905E6"/>
    <w:rsid w:val="000F12A7"/>
    <w:rsid w:val="00105FDE"/>
    <w:rsid w:val="00115707"/>
    <w:rsid w:val="00127296"/>
    <w:rsid w:val="001307BE"/>
    <w:rsid w:val="00143538"/>
    <w:rsid w:val="00181CE8"/>
    <w:rsid w:val="001950D7"/>
    <w:rsid w:val="001E10ED"/>
    <w:rsid w:val="001F503D"/>
    <w:rsid w:val="00212603"/>
    <w:rsid w:val="002142C0"/>
    <w:rsid w:val="00226D9C"/>
    <w:rsid w:val="00231B80"/>
    <w:rsid w:val="00250914"/>
    <w:rsid w:val="00252A9A"/>
    <w:rsid w:val="00296970"/>
    <w:rsid w:val="002B3717"/>
    <w:rsid w:val="002B4B8D"/>
    <w:rsid w:val="002B4E8C"/>
    <w:rsid w:val="002B54DB"/>
    <w:rsid w:val="002B6F82"/>
    <w:rsid w:val="002F7576"/>
    <w:rsid w:val="00303700"/>
    <w:rsid w:val="003C0347"/>
    <w:rsid w:val="003D791B"/>
    <w:rsid w:val="004013F9"/>
    <w:rsid w:val="004015B9"/>
    <w:rsid w:val="0041238C"/>
    <w:rsid w:val="00430B8E"/>
    <w:rsid w:val="004637E6"/>
    <w:rsid w:val="00480A5B"/>
    <w:rsid w:val="004811B9"/>
    <w:rsid w:val="004877A6"/>
    <w:rsid w:val="004E0B2E"/>
    <w:rsid w:val="00511A6B"/>
    <w:rsid w:val="005804FA"/>
    <w:rsid w:val="005D39B3"/>
    <w:rsid w:val="005F07CD"/>
    <w:rsid w:val="005F4D9A"/>
    <w:rsid w:val="005F7882"/>
    <w:rsid w:val="00612B90"/>
    <w:rsid w:val="00622DEB"/>
    <w:rsid w:val="00654C5E"/>
    <w:rsid w:val="00655E1C"/>
    <w:rsid w:val="006809A2"/>
    <w:rsid w:val="00686652"/>
    <w:rsid w:val="00686B0D"/>
    <w:rsid w:val="006A430D"/>
    <w:rsid w:val="006B5C67"/>
    <w:rsid w:val="006C79D6"/>
    <w:rsid w:val="006E07EA"/>
    <w:rsid w:val="006E41AE"/>
    <w:rsid w:val="006E66D3"/>
    <w:rsid w:val="007545D6"/>
    <w:rsid w:val="00767B16"/>
    <w:rsid w:val="00770F41"/>
    <w:rsid w:val="00777485"/>
    <w:rsid w:val="00780CE2"/>
    <w:rsid w:val="00787975"/>
    <w:rsid w:val="007A3163"/>
    <w:rsid w:val="007A6750"/>
    <w:rsid w:val="007E7DDE"/>
    <w:rsid w:val="007F53BB"/>
    <w:rsid w:val="00813A35"/>
    <w:rsid w:val="00837206"/>
    <w:rsid w:val="008626B0"/>
    <w:rsid w:val="00884494"/>
    <w:rsid w:val="008E3108"/>
    <w:rsid w:val="008E7206"/>
    <w:rsid w:val="00915AD5"/>
    <w:rsid w:val="00927565"/>
    <w:rsid w:val="009436C5"/>
    <w:rsid w:val="0094783A"/>
    <w:rsid w:val="0099522E"/>
    <w:rsid w:val="009A1AE8"/>
    <w:rsid w:val="009A6714"/>
    <w:rsid w:val="009C5B21"/>
    <w:rsid w:val="009D022E"/>
    <w:rsid w:val="009F4773"/>
    <w:rsid w:val="00A13B01"/>
    <w:rsid w:val="00A23E39"/>
    <w:rsid w:val="00A60B5C"/>
    <w:rsid w:val="00A84547"/>
    <w:rsid w:val="00A870B7"/>
    <w:rsid w:val="00B175CF"/>
    <w:rsid w:val="00B35F47"/>
    <w:rsid w:val="00B925DD"/>
    <w:rsid w:val="00B975F5"/>
    <w:rsid w:val="00BB013E"/>
    <w:rsid w:val="00BB77E5"/>
    <w:rsid w:val="00C21AC1"/>
    <w:rsid w:val="00C43321"/>
    <w:rsid w:val="00C616EA"/>
    <w:rsid w:val="00C94994"/>
    <w:rsid w:val="00C97124"/>
    <w:rsid w:val="00CA7679"/>
    <w:rsid w:val="00CD7A47"/>
    <w:rsid w:val="00D03362"/>
    <w:rsid w:val="00D32F7E"/>
    <w:rsid w:val="00D43737"/>
    <w:rsid w:val="00D43E2C"/>
    <w:rsid w:val="00D84FE9"/>
    <w:rsid w:val="00DA485F"/>
    <w:rsid w:val="00DB4041"/>
    <w:rsid w:val="00DE454B"/>
    <w:rsid w:val="00DF77CE"/>
    <w:rsid w:val="00E07F97"/>
    <w:rsid w:val="00E23E1A"/>
    <w:rsid w:val="00E3305C"/>
    <w:rsid w:val="00E36A97"/>
    <w:rsid w:val="00E405ED"/>
    <w:rsid w:val="00E51BE5"/>
    <w:rsid w:val="00E67631"/>
    <w:rsid w:val="00E67A2A"/>
    <w:rsid w:val="00E87BCB"/>
    <w:rsid w:val="00E96FED"/>
    <w:rsid w:val="00EE4F6C"/>
    <w:rsid w:val="00EF04CC"/>
    <w:rsid w:val="00F03677"/>
    <w:rsid w:val="00F06D7C"/>
    <w:rsid w:val="00F17C66"/>
    <w:rsid w:val="00F2613E"/>
    <w:rsid w:val="00F514C0"/>
    <w:rsid w:val="00F72267"/>
    <w:rsid w:val="00F850D5"/>
    <w:rsid w:val="00F86B1C"/>
    <w:rsid w:val="00FD4827"/>
    <w:rsid w:val="00FD7674"/>
    <w:rsid w:val="00FF6E27"/>
    <w:rsid w:val="014D66E4"/>
    <w:rsid w:val="03E72B61"/>
    <w:rsid w:val="04CC1D57"/>
    <w:rsid w:val="067F3525"/>
    <w:rsid w:val="079220E6"/>
    <w:rsid w:val="089D4136"/>
    <w:rsid w:val="08FC09E1"/>
    <w:rsid w:val="0917191E"/>
    <w:rsid w:val="09A04A40"/>
    <w:rsid w:val="09BE0B32"/>
    <w:rsid w:val="0A670558"/>
    <w:rsid w:val="0D5902E4"/>
    <w:rsid w:val="0EBC4BEA"/>
    <w:rsid w:val="100F5919"/>
    <w:rsid w:val="10E73EBA"/>
    <w:rsid w:val="11005262"/>
    <w:rsid w:val="117377D6"/>
    <w:rsid w:val="13AB1751"/>
    <w:rsid w:val="14EC22CC"/>
    <w:rsid w:val="18B96638"/>
    <w:rsid w:val="1AC63078"/>
    <w:rsid w:val="1BCD0E63"/>
    <w:rsid w:val="1EC75611"/>
    <w:rsid w:val="1FC21B8C"/>
    <w:rsid w:val="2072234B"/>
    <w:rsid w:val="29424212"/>
    <w:rsid w:val="296C5733"/>
    <w:rsid w:val="2FA01856"/>
    <w:rsid w:val="32CA14FB"/>
    <w:rsid w:val="348A11DE"/>
    <w:rsid w:val="356F1D87"/>
    <w:rsid w:val="37B05815"/>
    <w:rsid w:val="38A94570"/>
    <w:rsid w:val="392C4597"/>
    <w:rsid w:val="3F135A2F"/>
    <w:rsid w:val="437931F5"/>
    <w:rsid w:val="47064679"/>
    <w:rsid w:val="485B6C46"/>
    <w:rsid w:val="4BAF3531"/>
    <w:rsid w:val="4C8D3147"/>
    <w:rsid w:val="508D1E06"/>
    <w:rsid w:val="53E87889"/>
    <w:rsid w:val="56926418"/>
    <w:rsid w:val="57F4051E"/>
    <w:rsid w:val="5D6E4E90"/>
    <w:rsid w:val="619764D6"/>
    <w:rsid w:val="63A551A9"/>
    <w:rsid w:val="678278F4"/>
    <w:rsid w:val="67AC2367"/>
    <w:rsid w:val="6BFF1513"/>
    <w:rsid w:val="6D4E0541"/>
    <w:rsid w:val="6F653D83"/>
    <w:rsid w:val="738B18DE"/>
    <w:rsid w:val="74843878"/>
    <w:rsid w:val="76054BFC"/>
    <w:rsid w:val="780A4F5F"/>
    <w:rsid w:val="7B3B1EAE"/>
    <w:rsid w:val="7B7A6E08"/>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en-US" w:eastAsia="en-US" w:bidi="ar-SA"/>
    </w:rPr>
  </w:style>
  <w:style w:type="paragraph" w:styleId="2">
    <w:name w:val="heading 1"/>
    <w:basedOn w:val="1"/>
    <w:next w:val="1"/>
    <w:qFormat/>
    <w:uiPriority w:val="0"/>
    <w:pPr>
      <w:keepNext/>
      <w:jc w:val="center"/>
      <w:outlineLvl w:val="0"/>
    </w:pPr>
    <w:rPr>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style>
  <w:style w:type="paragraph" w:styleId="4">
    <w:name w:val="Body Text 3"/>
    <w:basedOn w:val="1"/>
    <w:qFormat/>
    <w:uiPriority w:val="0"/>
    <w:pPr>
      <w:adjustRightInd w:val="0"/>
      <w:jc w:val="both"/>
    </w:pPr>
    <w:rPr>
      <w:i/>
      <w:iCs/>
    </w:rPr>
  </w:style>
  <w:style w:type="paragraph" w:styleId="5">
    <w:name w:val="Body Text"/>
    <w:basedOn w:val="1"/>
    <w:qFormat/>
    <w:uiPriority w:val="1"/>
    <w:rPr>
      <w:sz w:val="24"/>
      <w:szCs w:val="24"/>
    </w:rPr>
  </w:style>
  <w:style w:type="paragraph" w:styleId="6">
    <w:name w:val="footer"/>
    <w:basedOn w:val="1"/>
    <w:link w:val="15"/>
    <w:unhideWhenUsed/>
    <w:qFormat/>
    <w:uiPriority w:val="99"/>
    <w:pPr>
      <w:tabs>
        <w:tab w:val="center" w:pos="4153"/>
        <w:tab w:val="right" w:pos="8306"/>
      </w:tabs>
    </w:pPr>
  </w:style>
  <w:style w:type="paragraph" w:styleId="7">
    <w:name w:val="header"/>
    <w:basedOn w:val="1"/>
    <w:link w:val="14"/>
    <w:unhideWhenUsed/>
    <w:qFormat/>
    <w:uiPriority w:val="99"/>
    <w:pPr>
      <w:tabs>
        <w:tab w:val="center" w:pos="4153"/>
        <w:tab w:val="right" w:pos="8306"/>
      </w:tabs>
    </w:pPr>
  </w:style>
  <w:style w:type="paragraph" w:styleId="8">
    <w:name w:val="Title"/>
    <w:basedOn w:val="1"/>
    <w:qFormat/>
    <w:uiPriority w:val="10"/>
    <w:pPr>
      <w:spacing w:line="367" w:lineRule="exact"/>
      <w:ind w:left="1720" w:right="1720"/>
      <w:jc w:val="center"/>
    </w:pPr>
    <w:rPr>
      <w:b/>
      <w:bCs/>
      <w:sz w:val="34"/>
      <w:szCs w:val="34"/>
    </w:rPr>
  </w:style>
  <w:style w:type="table" w:styleId="10">
    <w:name w:val="Table Grid"/>
    <w:basedOn w:val="9"/>
    <w:qFormat/>
    <w:uiPriority w:val="39"/>
    <w:rPr>
      <w:rFonts w:eastAsiaTheme="minorEastAsia"/>
      <w:lang w:val="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1"/>
  </w:style>
  <w:style w:type="paragraph" w:customStyle="1" w:styleId="13">
    <w:name w:val="Table Paragraph"/>
    <w:basedOn w:val="1"/>
    <w:qFormat/>
    <w:uiPriority w:val="1"/>
  </w:style>
  <w:style w:type="character" w:customStyle="1" w:styleId="14">
    <w:name w:val="Header Char"/>
    <w:basedOn w:val="11"/>
    <w:link w:val="7"/>
    <w:qFormat/>
    <w:uiPriority w:val="99"/>
    <w:rPr>
      <w:rFonts w:ascii="Times New Roman" w:hAnsi="Times New Roman" w:eastAsia="Times New Roman" w:cs="Times New Roman"/>
    </w:rPr>
  </w:style>
  <w:style w:type="character" w:customStyle="1" w:styleId="15">
    <w:name w:val="Footer Char"/>
    <w:basedOn w:val="11"/>
    <w:link w:val="6"/>
    <w:qFormat/>
    <w:uiPriority w:val="99"/>
    <w:rPr>
      <w:rFonts w:ascii="Times New Roman" w:hAnsi="Times New Roman" w:eastAsia="Times New Roman" w:cs="Times New Roman"/>
    </w:rPr>
  </w:style>
  <w:style w:type="paragraph" w:customStyle="1" w:styleId="16">
    <w:name w:val="Revision1"/>
    <w:hidden/>
    <w:semiHidden/>
    <w:qFormat/>
    <w:uiPriority w:val="99"/>
    <w:rPr>
      <w:rFonts w:ascii="Times New Roman" w:hAnsi="Times New Roman" w:eastAsia="Times New Roman" w:cs="Times New Roman"/>
      <w:sz w:val="22"/>
      <w:szCs w:val="22"/>
      <w:lang w:val="en-US" w:eastAsia="en-US" w:bidi="ar-SA"/>
    </w:rPr>
  </w:style>
  <w:style w:type="paragraph" w:customStyle="1" w:styleId="17">
    <w:name w:val="Revision2"/>
    <w:hidden/>
    <w:unhideWhenUsed/>
    <w:qFormat/>
    <w:uiPriority w:val="99"/>
    <w:rPr>
      <w:rFonts w:ascii="Times New Roman" w:hAnsi="Times New Roman" w:eastAsia="Times New Roman" w:cs="Times New Roman"/>
      <w:sz w:val="22"/>
      <w:szCs w:val="22"/>
      <w:lang w:val="en-US" w:eastAsia="en-US" w:bidi="ar-SA"/>
    </w:rPr>
  </w:style>
  <w:style w:type="paragraph" w:customStyle="1" w:styleId="18">
    <w:name w:val="Revision3"/>
    <w:hidden/>
    <w:unhideWhenUsed/>
    <w:qFormat/>
    <w:uiPriority w:val="99"/>
    <w:rPr>
      <w:rFonts w:ascii="Times New Roman" w:hAnsi="Times New Roman" w:eastAsia="Times New Roman" w:cs="Times New Roman"/>
      <w:sz w:val="22"/>
      <w:szCs w:val="22"/>
      <w:lang w:val="en-US" w:eastAsia="en-US" w:bidi="ar-SA"/>
    </w:rPr>
  </w:style>
  <w:style w:type="paragraph" w:customStyle="1" w:styleId="19">
    <w:name w:val="Revision"/>
    <w:hidden/>
    <w:unhideWhenUsed/>
    <w:qFormat/>
    <w:uiPriority w:val="99"/>
    <w:rPr>
      <w:rFonts w:ascii="Times New Roman" w:hAnsi="Times New Roman" w:eastAsia="Times New Roman" w:cs="Times New Roman"/>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A508BF8D4BEC946BA0ED8C9ADBFFBDA" ma:contentTypeVersion="17" ma:contentTypeDescription="Create a new document." ma:contentTypeScope="" ma:versionID="f64db7d53336edee670fbbd0b5c3629d">
  <xsd:schema xmlns:xsd="http://www.w3.org/2001/XMLSchema" xmlns:xs="http://www.w3.org/2001/XMLSchema" xmlns:p="http://schemas.microsoft.com/office/2006/metadata/properties" xmlns:ns2="f4d606cb-947b-444d-87d7-eabbdae821ea" xmlns:ns3="73509e46-30d5-478c-b3a2-821f53f334db" targetNamespace="http://schemas.microsoft.com/office/2006/metadata/properties" ma:root="true" ma:fieldsID="92b95c12ccc37e6f9d2faf7fc29242bd" ns2:_="" ns3:_="">
    <xsd:import namespace="f4d606cb-947b-444d-87d7-eabbdae821ea"/>
    <xsd:import namespace="73509e46-30d5-478c-b3a2-821f53f334d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606cb-947b-444d-87d7-eabbdae821e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166078c-ca8b-41a4-b0dc-489acbffae0e}" ma:internalName="TaxCatchAll" ma:showField="CatchAllData" ma:web="f4d606cb-947b-444d-87d7-eabbdae821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3509e46-30d5-478c-b3a2-821f53f334d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d336a6-4bb9-4af2-ab7a-82e8aa86db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23F79F-33C9-4F71-AE79-6AA3D29B0D97}">
  <ds:schemaRefs/>
</ds:datastoreItem>
</file>

<file path=customXml/itemProps3.xml><?xml version="1.0" encoding="utf-8"?>
<ds:datastoreItem xmlns:ds="http://schemas.openxmlformats.org/officeDocument/2006/customXml" ds:itemID="{979562A6-B758-4A13-96D7-83EC93F96406}">
  <ds:schemaRefs/>
</ds:datastoreItem>
</file>

<file path=customXml/itemProps4.xml><?xml version="1.0" encoding="utf-8"?>
<ds:datastoreItem xmlns:ds="http://schemas.openxmlformats.org/officeDocument/2006/customXml" ds:itemID="{CD7D1BB2-E044-4A30-B2CE-98AFFD59A163}">
  <ds:schemaRefs/>
</ds:datastoreItem>
</file>

<file path=docProps/app.xml><?xml version="1.0" encoding="utf-8"?>
<Properties xmlns="http://schemas.openxmlformats.org/officeDocument/2006/extended-properties" xmlns:vt="http://schemas.openxmlformats.org/officeDocument/2006/docPropsVTypes">
  <Template>Normal</Template>
  <Pages>2</Pages>
  <Words>304</Words>
  <Characters>1629</Characters>
  <Lines>102</Lines>
  <Paragraphs>28</Paragraphs>
  <TotalTime>76</TotalTime>
  <ScaleCrop>false</ScaleCrop>
  <LinksUpToDate>false</LinksUpToDate>
  <CharactersWithSpaces>1914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2023-09-22T03:07:00Z</dcterms:created>
  <dc:creator>OPT058</dc:creator>
  <cp:lastModifiedBy>企业用户_439313626</cp:lastModifiedBy>
  <cp:lastPrinted>2023-09-22T03:02:00Z</cp:lastPrinted>
  <dcterms:modified xsi:type="dcterms:W3CDTF">2023-11-30T03:09:47Z</dcterms:modified>
  <dc:title>E226497A_SinoMab-B 1..2</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2022-11-17T00:00:00Z</vt:filetime>
  </property>
  <property fmtid="{D5CDD505-2E9C-101B-9397-08002B2CF9AE}" pid="3" name="Creator">
    <vt:lpwstr>PTC Arbortext Advanced Print Publisher 11.1.4243/W-x64</vt:lpwstr>
  </property>
  <property fmtid="{D5CDD505-2E9C-101B-9397-08002B2CF9AE}" pid="4" name="LastSaved">
    <vt:filetime>2023-02-10T00:00:00Z</vt:filetime>
  </property>
  <property fmtid="{D5CDD505-2E9C-101B-9397-08002B2CF9AE}" pid="5" name="Producer">
    <vt:lpwstr>PDF Printer / www.bullzip.com / FG / Freeware Edition (max 10 users)</vt:lpwstr>
  </property>
  <property fmtid="{D5CDD505-2E9C-101B-9397-08002B2CF9AE}" pid="6" name="iManageFooter">
    <vt:lpwstr>#10133036v1&lt;HK&gt; - EN - Announcement</vt:lpwstr>
  </property>
  <property fmtid="{D5CDD505-2E9C-101B-9397-08002B2CF9AE}" pid="7" name="KSOProductBuildVer">
    <vt:lpwstr>2052-12.1.0.15712</vt:lpwstr>
  </property>
  <property fmtid="{D5CDD505-2E9C-101B-9397-08002B2CF9AE}" pid="8" name="ICV">
    <vt:lpwstr>A0F6579F947548828C6C0DE732476471_12</vt:lpwstr>
  </property>
</Properties>
</file>